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TS-0078 · Media</w:t>
      </w:r>
    </w:p>
    <w:p>
      <w:pPr>
        <w:pStyle w:val="Title"/>
      </w:pPr>
      <w:r>
        <w:t xml:space="preserve">The Reasonable, Strong-Minded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standard by which the effect of words or a film is judged: an ordinary person of firm mind, not one who scents danger everywhere.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Ramesh v. Union of India, (1988) 1 SCC 668</w:t>
      </w:r>
    </w:p>
    <w:p>
      <w:pPr>
        <w:pStyle w:val="Bullet"/>
      </w:pPr>
      <w:r>
        <w:t xml:space="preserve">•  Bhagwati Charan Shukla v. Provincial Government, AIR 1947 Nag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https://firstprecedent.org/tests/reasonable-strong-minded-person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