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TS-0112 · Tort</w:t>
      </w:r>
    </w:p>
    <w:p>
      <w:pPr>
        <w:pStyle w:val="Title"/>
      </w:pPr>
      <w:r>
        <w:t xml:space="preserve">Reasonable Foreseeability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rule that a wrongdoer answers only for damage of a kind a reasonable person would have foreseen.</w:t>
      </w:r>
    </w:p>
    <w:p>
      <w:pPr>
        <w:pStyle w:val="Guidance"/>
      </w:pPr>
      <w:r>
        <w:t xml:space="preserve">Authorities to start from. These are places to begin, listed by the editors. Read each one in the original and check the citation before you rely on it.</w:t>
      </w:r>
    </w:p>
    <w:p>
      <w:pPr>
        <w:pStyle w:val="Bullet"/>
      </w:pPr>
      <w:r>
        <w:t xml:space="preserve">•  Overseas Tankship (U.K.) Ltd. v. Morts Dock &amp; Engineering Co. Ltd. (The Wagon Mound), [1961] AC 388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https://firstprecedent.org/tests/reasonable-foreseeability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