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TS-0024 · Contract</w:t>
      </w:r>
    </w:p>
    <w:p>
      <w:pPr>
        <w:pStyle w:val="Title"/>
      </w:pPr>
      <w:r>
        <w:t xml:space="preserve">Reasonable Compensation for Liquidated Damages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Section 74: the stipulated sum is a ceiling, and whether loss must be proved before it is awarded.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Fateh Chand v. Balkishan Dass, AIR 1963 SC 1405</w:t>
      </w:r>
    </w:p>
    <w:p>
      <w:pPr>
        <w:pStyle w:val="Bullet"/>
      </w:pPr>
      <w:r>
        <w:t xml:space="preserve">•  ONGC Ltd. v. Saw Pipes Ltd., (2003) 5 SCC 705</w:t>
      </w:r>
    </w:p>
    <w:p>
      <w:pPr>
        <w:pStyle w:val="Bullet"/>
      </w:pPr>
      <w:r>
        <w:t xml:space="preserve">•  Kailash Nath Associates v. DDA, (2015) 4 SCC 136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https://firstprecedent.org/tests/reasonable-compensation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