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TS-0061 · Administrative</w:t>
      </w:r>
    </w:p>
    <w:p>
      <w:pPr>
        <w:pStyle w:val="Title"/>
      </w:pPr>
      <w:r>
        <w:t xml:space="preserve">Real Likelihood of Bias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fair-minded observer would think the decision-maker might be biased; actual bias need not be proved.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Kraipak v. Union of India, (1969) 2 SCC 262</w:t>
      </w:r>
    </w:p>
    <w:p>
      <w:pPr>
        <w:pStyle w:val="Bullet"/>
      </w:pPr>
      <w:r>
        <w:t xml:space="preserve">•  Ranjit Thakur v. Union of India, (1987) 4 SCC 611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https://firstprecedent.org/tests/real-likelihood-of-bias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