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TS-0065 · Contract</w:t>
      </w:r>
    </w:p>
    <w:p>
      <w:pPr>
        <w:pStyle w:val="Title"/>
      </w:pPr>
      <w:r>
        <w:t xml:space="preserve">Readiness and Willingness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plaintiff seeking specific performance must show the means and the intention to perform throughout.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16(c)</w:t>
      </w:r>
    </w:p>
    <w:p>
      <w:pPr>
        <w:pStyle w:val="Bullet"/>
      </w:pPr>
      <w:r>
        <w:t xml:space="preserve">•  N.P. Thirugnanam v. Dr. R. Jagan Mohan Rao, (1995) 5 SCC 115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https://firstprecedent.org/tests/readiness-and-willingness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