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TS-0109 · Criminal</w:t>
      </w:r>
    </w:p>
    <w:p>
      <w:pPr>
        <w:pStyle w:val="Title"/>
      </w:pPr>
      <w:r>
        <w:t xml:space="preserve">Quashing on Settlement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the High Court may end a prosecution because the parties have settled, and the offences where it will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Gian Singh v. State of Punjab, (2012) 10 SCC 303</w:t>
      </w:r>
    </w:p>
    <w:p>
      <w:pPr>
        <w:pStyle w:val="Bullet"/>
      </w:pPr>
      <w:r>
        <w:t xml:space="preserve">•  Narinder Singh v. State of Punjab, (2014) 6 SCC 466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https://firstprecedent.org/tests/quashing-on-settlement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