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TS-0017 · Criminal</w:t>
      </w:r>
    </w:p>
    <w:p>
      <w:pPr>
        <w:pStyle w:val="Title"/>
      </w:pPr>
      <w:r>
        <w:t xml:space="preserve">The Bhajan Lal Categories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seven illustrative situations in which a High Court may quash an FIR or complaint in its inherent jurisdiction.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Haryana v. Bhajan Lal, 1992 Supp (1) SCC 335</w:t>
      </w:r>
    </w:p>
    <w:p>
      <w:pPr>
        <w:pStyle w:val="Bullet"/>
      </w:pPr>
      <w:r>
        <w:t xml:space="preserve">•  R.P. Kapur v. State of Punjab, AIR 1960 SC 866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https://firstprecedent.org/tests/quashing-bhajan-lal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