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TS-0033 · Arbitration</w:t>
      </w:r>
    </w:p>
    <w:p>
      <w:pPr>
        <w:pStyle w:val="Title"/>
      </w:pPr>
      <w:r>
        <w:t xml:space="preserve">Public Policy of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narrow test for refusing to enforce a foreign award: fundamental policy, the interest of India, and justice or morality.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Renusagar Power Co. Ltd. v. General Electric Co., 1994 Supp (1) SCC 644</w:t>
      </w:r>
    </w:p>
    <w:p>
      <w:pPr>
        <w:pStyle w:val="Bullet"/>
      </w:pPr>
      <w:r>
        <w:t xml:space="preserve">•  Shri Lal Mahal Ltd. v. Progetto Grano SpA, (2014) 2 SCC 433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https://firstprecedent.org/tests/public-policy-of-india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