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TS-0009 · Media</w:t>
      </w:r>
    </w:p>
    <w:p>
      <w:pPr>
        <w:pStyle w:val="Title"/>
      </w:pPr>
      <w:r>
        <w:t xml:space="preserve">Proximity and the Spark in a Powder Keg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close speech must be to disorder before it may be restricted: the Indian proximity test and the advocacy–incitement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Rangarajan v. P. Jagjivan Ram, (1989) 2 SCC 574</w:t>
      </w:r>
    </w:p>
    <w:p>
      <w:pPr>
        <w:pStyle w:val="Bullet"/>
      </w:pPr>
      <w:r>
        <w:t xml:space="preserve">•  Shreya Singhal v. Union of India, (2015) 5 SCC 1</w:t>
      </w:r>
    </w:p>
    <w:p>
      <w:pPr>
        <w:pStyle w:val="Bullet"/>
      </w:pPr>
      <w:r>
        <w:t xml:space="preserve">•  Superintendent, Central Prison v. Ram Manohar Lohia, AIR 1960 SC 633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https://firstprecedent.org/tests/proximity-test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