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TS-0154 · International (Public)</w:t>
      </w:r>
    </w:p>
    <w:p>
      <w:pPr>
        <w:pStyle w:val="Title"/>
      </w:pPr>
      <w:r>
        <w:t xml:space="preserve">Provisional Measures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the World Court requires before ordering interim protection: prima facie jurisdiction, plausible rights and urgency.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Statute of the International Court of Justice, art. 41</w:t>
      </w:r>
    </w:p>
    <w:p>
      <w:pPr>
        <w:pStyle w:val="Bullet"/>
      </w:pPr>
      <w:r>
        <w:t xml:space="preserve">•  Application of the Convention on the Prevention and Punishment of the Crime of Genocide (Gam. v. Myan.), Provisional Measures, Order, 2020 I.C.J. 3 (Jan. 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https://firstprecedent.org/tests/provisional-measures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