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TS-0121 · Property</w:t>
      </w:r>
    </w:p>
    <w:p>
      <w:pPr>
        <w:pStyle w:val="Title"/>
      </w:pPr>
      <w:r>
        <w:t xml:space="preserve">Proof of a 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propounder of a will must prove, and the duty to dispel suspicious circumstances surrounding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63</w:t>
      </w:r>
    </w:p>
    <w:p>
      <w:pPr>
        <w:pStyle w:val="Bullet"/>
      </w:pPr>
      <w:r>
        <w:t xml:space="preserve">•  Indian Evidence Act, 1872, § 68</w:t>
      </w:r>
    </w:p>
    <w:p>
      <w:pPr>
        <w:pStyle w:val="Bullet"/>
      </w:pPr>
      <w:r>
        <w:t xml:space="preserve">•  H. Venkatachala Iyengar v. B.N. Thimmajamma, AIR 1959 SC 443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https://firstprecedent.org/tests/proof-of-a-will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