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TS-0134 · Competition</w:t>
      </w:r>
    </w:p>
    <w:p>
      <w:pPr>
        <w:pStyle w:val="Title"/>
      </w:pPr>
      <w:r>
        <w:t xml:space="preserve">Prima Facie Opinion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threshold on which the Commission orders an investigation, and the hearing and reasons required at that stage.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26(1)</w:t>
      </w:r>
    </w:p>
    <w:p>
      <w:pPr>
        <w:pStyle w:val="Bullet"/>
      </w:pPr>
      <w:r>
        <w:t xml:space="preserve">•  CCI v. SAIL, (2010) 10 SCC 744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https://firstprecedent.org/tests/prima-facie-opinion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