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TS-0105 · Criminal</w:t>
      </w:r>
    </w:p>
    <w:p>
      <w:pPr>
        <w:pStyle w:val="Title"/>
      </w:pPr>
      <w:r>
        <w:t xml:space="preserve">Preliminary Assessment of a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inquiry into a sixteen-to-eighteen-year-old’s capacity and understanding before a trial as an adult for a heinous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15</w:t>
      </w:r>
    </w:p>
    <w:p>
      <w:pPr>
        <w:pStyle w:val="Bullet"/>
      </w:pPr>
      <w:r>
        <w:t xml:space="preserve">•  Barun Chandra Thakur v. Master Bholu, 2022 SCC OnLine SC 870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https://firstprecedent.org/tests/preliminary-assessment-of-a-child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