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TS-0131 · Banking</w:t>
      </w:r>
    </w:p>
    <w:p>
      <w:pPr>
        <w:pStyle w:val="Title"/>
      </w:pPr>
      <w:r>
        <w:t xml:space="preserve">Preferential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payment or transfer before insolvency is undone because it put one creditor ahead of the 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43</w:t>
      </w:r>
    </w:p>
    <w:p>
      <w:pPr>
        <w:pStyle w:val="Bullet"/>
      </w:pPr>
      <w:r>
        <w:t xml:space="preserve">•  Anuj Jain v. Axis Bank Ltd., (2020) 8 SCC 401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https://firstprecedent.org/tests/preferential-transaction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