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TS-0047 · Competition</w:t>
      </w:r>
    </w:p>
    <w:p>
      <w:pPr>
        <w:pStyle w:val="Title"/>
      </w:pPr>
      <w:r>
        <w:t xml:space="preserve">Predatory Pricing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Pricing below cost to eliminate rivals: the cost benchmark and the need to show dominance first.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 Explanation (b)</w:t>
      </w:r>
    </w:p>
    <w:p>
      <w:pPr>
        <w:pStyle w:val="Bullet"/>
      </w:pPr>
      <w:r>
        <w:t xml:space="preserve">•  Uber (India) Systems (P) Ltd. v. CCI, (2019) 8 SCC 697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https://firstprecedent.org/tests/predatory-pricing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