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TS-0054 · IP</w:t>
      </w:r>
    </w:p>
    <w:p>
      <w:pPr>
        <w:pStyle w:val="Title"/>
      </w:pPr>
      <w:r>
        <w:t xml:space="preserve">An Interim Injunction in a Patent Suit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A credible challenge to validity, the public interest in access to medicines, and the balance of convenience.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F. Hoffmann-La Roche Ltd. v. Cipla Ltd., 2009 SCC OnLine Del 1074</w:t>
      </w:r>
    </w:p>
    <w:p>
      <w:pPr>
        <w:pStyle w:val="Bullet"/>
      </w:pPr>
      <w:r>
        <w:t xml:space="preserve">•  Patents Act, 1970, § 13(4)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https://firstprecedent.org/tests/patent-infringement-injunction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