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TS-0053 · IP</w:t>
      </w:r>
    </w:p>
    <w:p>
      <w:pPr>
        <w:pStyle w:val="Title"/>
      </w:pPr>
      <w:r>
        <w:t xml:space="preserve">The Classical Trinity of Passing Off</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Goodwill, misrepresentation and damage: the three elements of the common law 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Laxmikant V. Patel v. Chetanbhai Shah, (2002) 3 SCC 65</w:t>
      </w:r>
    </w:p>
    <w:p>
      <w:pPr>
        <w:pStyle w:val="Bullet"/>
      </w:pPr>
      <w:r>
        <w:t xml:space="preserve">•  Satyam Infoway Ltd. v. Siffynet Solutions (P) Ltd., (2004) 6 SCC 145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https://firstprecedent.org/tests/passing-off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