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TS-0128 · Family</w:t>
      </w:r>
    </w:p>
    <w:p>
      <w:pPr>
        <w:pStyle w:val="Title"/>
      </w:pPr>
      <w:r>
        <w:t xml:space="preserve">Ordering a DNA Test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court may direct a paternity test: only on eminent need, weighing the child’s interests and the presumption of legitimacy.</w:t>
      </w:r>
    </w:p>
    <w:p>
      <w:pPr>
        <w:pStyle w:val="Guidance"/>
      </w:pPr>
      <w:r>
        <w:t xml:space="preserve">Authorities to start from. These are places to begin, listed by the editors. Read each one in the original and check the citation before you rely on it.</w:t>
      </w:r>
    </w:p>
    <w:p>
      <w:pPr>
        <w:pStyle w:val="Bullet"/>
      </w:pPr>
      <w:r>
        <w:t xml:space="preserve">•  Goutam Kundu v. State of W.B., (1993) 3 SCC 418</w:t>
      </w:r>
    </w:p>
    <w:p>
      <w:pPr>
        <w:pStyle w:val="Bullet"/>
      </w:pPr>
      <w:r>
        <w:t xml:space="preserve">•  Bhabani Prasad Jena v. Orissa State Commission for Women, (2010) 8 SCC 633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https://firstprecedent.org/tests/ordering-a-dna-test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