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TS-0049 · Securities</w:t>
      </w:r>
    </w:p>
    <w:p>
      <w:pPr>
        <w:pStyle w:val="Title"/>
      </w:pPr>
      <w:r>
        <w:t xml:space="preserve">Triggering an Open Offer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shareholding thresholds and the acquisition of control that oblige an acquirer to make an offer to public shareholders.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(Substantial Acquisition of Shares and Takeovers) Regulations, 2011, regs. 3–5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https://firstprecedent.org/tests/open-offer-trigger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