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TS-0106 · Criminal</w:t>
      </w:r>
    </w:p>
    <w:p>
      <w:pPr>
        <w:pStyle w:val="Title"/>
      </w:pPr>
      <w:r>
        <w:t xml:space="preserve">Mental Illness after Conviction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“test of severity” for deciding whether mental illness arising after conviction bars execution.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Accused X v. State of Maharashtra, (2019) 7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https://firstprecedent.org/tests/mental-illness-after-conviction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