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TS-0126 · Family</w:t>
      </w:r>
    </w:p>
    <w:p>
      <w:pPr>
        <w:pStyle w:val="Title"/>
      </w:pPr>
      <w:r>
        <w:t xml:space="preserve">Mental Disorder as a Ground for Divorce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degree of mental disorder that justifies divorce: such that the petitioner cannot reasonably be expected to live with the respondent.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13(1)(iii)</w:t>
      </w:r>
    </w:p>
    <w:p>
      <w:pPr>
        <w:pStyle w:val="Bullet"/>
      </w:pPr>
      <w:r>
        <w:t xml:space="preserve">•  Ram Narain Gupta v. Rameshwari Gupta, (1988) 4 SCC 247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https://firstprecedent.org/tests/mental-disorder-as-a-ground-for-divorce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