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TS-0124 · Property</w:t>
      </w:r>
    </w:p>
    <w:p>
      <w:pPr>
        <w:pStyle w:val="Title"/>
      </w:pPr>
      <w:r>
        <w:t xml:space="preserve">Market Value in Land Acquisition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method for valuing acquired land from comparable sales, with the adjustments to be made up and down.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Chimanlal Hargovinddas v. Special Land Acquisition Officer, (1988) 3 SCC 751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https://firstprecedent.org/tests/market-value-in-land-acquisition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