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TS-0002 · Constitutional</w:t>
      </w:r>
    </w:p>
    <w:p>
      <w:pPr>
        <w:pStyle w:val="Title"/>
      </w:pPr>
      <w:r>
        <w:t xml:space="preserve">Manifest Arbitrariness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ground on which plenary legislation can be struck down under Article 14: what "manifest" adds, and its revival in 2017.</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Shayara Bano v. Union of India, (2017) 9 SCC 1</w:t>
      </w:r>
    </w:p>
    <w:p>
      <w:pPr>
        <w:pStyle w:val="Bullet"/>
      </w:pPr>
      <w:r>
        <w:t xml:space="preserve">•  State of A.P. v. McDowell &amp; Co., (1996) 3 SCC 709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https://firstprecedent.org/tests/manifest-arbitrariness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