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TS-0092 · Civil Procedure</w:t>
      </w:r>
    </w:p>
    <w:p>
      <w:pPr>
        <w:pStyle w:val="Title"/>
      </w:pPr>
      <w:r>
        <w:t xml:space="preserve">Mandatory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higher standard for an interim order that compels an act: a strong case, not merely a prima facie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Dorab Cawasji Warden v. Coomi Sorab Warden, (1990) 2 SCC 117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https://firstprecedent.org/tests/mandatory-interim-injunction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