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TS-0150 · Arbitration</w:t>
      </w:r>
    </w:p>
    <w:p>
      <w:pPr>
        <w:pStyle w:val="Title"/>
      </w:pPr>
      <w:r>
        <w:t xml:space="preserve">Limitation for Appointing an Arbitrator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three-year period for asking a court to appoint an arbitrator, and when the court may refuse because the claim itself is dead.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BSNL v. Nortel Networks India (P) Ltd., (2021) 5 SCC 738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https://firstprecedent.org/tests/limitation-for-appointing-an-arbitrator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