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Test · TS-0118 · Property</w:t>
      </w:r>
    </w:p>
    <w:p>
      <w:pPr>
        <w:pStyle w:val="Title"/>
      </w:pPr>
      <w:r>
        <w:t xml:space="preserve">Lease or Licence</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question the test answers</w:t>
      </w:r>
    </w:p>
    <w:p>
      <w:pPr>
        <w:pStyle w:val="Guidance"/>
      </w:pPr>
      <w:r>
        <w:t xml:space="preserve">What a court is trying to decide when it uses this test.</w:t>
      </w:r>
    </w:p>
    <w:p/>
    <w:p>
      <w:pPr>
        <w:pStyle w:val="Heading1"/>
      </w:pPr>
      <w:r>
        <w:t xml:space="preserve">The steps</w:t>
      </w:r>
    </w:p>
    <w:p>
      <w:pPr>
        <w:pStyle w:val="Guidance"/>
      </w:pPr>
      <w:r>
        <w:t xml:space="preserve">Each step in order, stated as the courts state it.</w:t>
      </w:r>
    </w:p>
    <w:p/>
    <w:p>
      <w:pPr>
        <w:pStyle w:val="Heading1"/>
      </w:pPr>
      <w:r>
        <w:t xml:space="preserve">The case behind each step</w:t>
      </w:r>
    </w:p>
    <w:p>
      <w:pPr>
        <w:pStyle w:val="Guidance"/>
      </w:pPr>
      <w:r>
        <w:t xml:space="preserve">Where each step came from, with pinpoint references.</w:t>
      </w:r>
    </w:p>
    <w:p/>
    <w:p>
      <w:pPr>
        <w:pStyle w:val="Heading1"/>
      </w:pPr>
      <w:r>
        <w:t xml:space="preserve">How courts apply it</w:t>
      </w:r>
    </w:p>
    <w:p>
      <w:pPr>
        <w:pStyle w:val="Guidance"/>
      </w:pPr>
      <w:r>
        <w:t xml:space="preserve">Recent decisions, including ones that applied the test loosely.</w:t>
      </w:r>
    </w:p>
    <w:p/>
    <w:p>
      <w:pPr>
        <w:pStyle w:val="Heading1"/>
      </w:pPr>
      <w:r>
        <w:t xml:space="preserve">Criticism</w:t>
      </w:r>
    </w:p>
    <w:p>
      <w:pPr>
        <w:pStyle w:val="Guidance"/>
      </w:pPr>
      <w:r>
        <w:t xml:space="preserve">What judges and writers have said is wrong or unclear about the test.</w:t>
      </w:r>
    </w:p>
    <w:p/>
    <w:p>
      <w:pPr>
        <w:pStyle w:val="Heading1"/>
      </w:pPr>
      <w:r>
        <w:t xml:space="preserve">Notes for the writer (delete before submitting)</w:t>
      </w:r>
    </w:p>
    <w:p>
      <w:pPr>
        <w:pStyle w:val="Guidance"/>
      </w:pPr>
      <w:r>
        <w:t xml:space="preserve">Scope of this entry. Whether an arrangement gives an interest in land or only permission to use it: intention, not the label, decides.</w:t>
      </w:r>
    </w:p>
    <w:p>
      <w:pPr>
        <w:pStyle w:val="Guidance"/>
      </w:pPr>
      <w:r>
        <w:t xml:space="preserve">Authorities to start from. These are places to begin, listed by the editors. Read each one in the original and check the citation before you rely on it.</w:t>
      </w:r>
    </w:p>
    <w:p>
      <w:pPr>
        <w:pStyle w:val="Bullet"/>
      </w:pPr>
      <w:r>
        <w:t xml:space="preserve">•  Transfer of Property Act, 1882, § 105</w:t>
      </w:r>
    </w:p>
    <w:p>
      <w:pPr>
        <w:pStyle w:val="Bullet"/>
      </w:pPr>
      <w:r>
        <w:t xml:space="preserve">•  Indian Easements Act, 1882, § 52</w:t>
      </w:r>
    </w:p>
    <w:p>
      <w:pPr>
        <w:pStyle w:val="Bullet"/>
      </w:pPr>
      <w:r>
        <w:t xml:space="preserve">•  Associated Hotels of India Ltd. v. R.N. Kapoor, AIR 1959 SC 1262</w:t>
      </w:r>
    </w:p>
    <w:p>
      <w:pPr>
        <w:pStyle w:val="Guidance"/>
      </w:pPr>
      <w:r>
        <w:t xml:space="preserve">Length. At least 2,000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https://firstprecedent.org/tests/lease-or-licence</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