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TS-0148 · Arbitration</w:t>
      </w:r>
    </w:p>
    <w:p>
      <w:pPr>
        <w:pStyle w:val="Title"/>
      </w:pPr>
      <w:r>
        <w:t xml:space="preserve">Justifiable Doubts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an arbitrator’s links to a party require disclosure and when they disqualify outright, under the Fifth and Seventh Schedules.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12</w:t>
      </w:r>
    </w:p>
    <w:p>
      <w:pPr>
        <w:pStyle w:val="Bullet"/>
      </w:pPr>
      <w:r>
        <w:t xml:space="preserve">•  HRD Corpn. v. GAIL (India) Ltd., (2018) 12 SCC 471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https://firstprecedent.org/tests/justifiable-doubts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