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TS-0067 · Corporate</w:t>
      </w:r>
    </w:p>
    <w:p>
      <w:pPr>
        <w:pStyle w:val="Title"/>
      </w:pPr>
      <w:r>
        <w:t xml:space="preserve">Just and Equitable Winding Up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company may be wound up because of deadlock, lost substratum or a broken understanding between members.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271(e)</w:t>
      </w:r>
    </w:p>
    <w:p>
      <w:pPr>
        <w:pStyle w:val="Bullet"/>
      </w:pPr>
      <w:r>
        <w:t xml:space="preserve">•  Hind Overseas (P) Ltd. v. Raghunath Prasad Jhunjhunwalla, (1976) 3 SCC 259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https://firstprecedent.org/tests/just-and-equitable-winding-up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