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TS-0161 · Civil Procedure</w:t>
      </w:r>
    </w:p>
    <w:p>
      <w:pPr>
        <w:pStyle w:val="Title"/>
      </w:pPr>
      <w:r>
        <w:t xml:space="preserve">Judgment on Admissions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decree a claim at once because the defendant’s admission is clear and unequivocal.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XII, Rule 6</w:t>
      </w:r>
    </w:p>
    <w:p>
      <w:pPr>
        <w:pStyle w:val="Bullet"/>
      </w:pPr>
      <w:r>
        <w:t xml:space="preserve">•  Uttam Singh Duggal &amp; Co. Ltd. v. United Bank of India, (2000) 7 SCC 120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https://firstprecedent.org/tests/judgment-on-admissions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