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TS-0056 · Tech &amp; Data</w:t>
      </w:r>
    </w:p>
    <w:p>
      <w:pPr>
        <w:pStyle w:val="Title"/>
      </w:pPr>
      <w:r>
        <w:t xml:space="preserve">A Lawful Internet Shutdown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Necessity, proportionality, a time limit, publication of the order and periodic review.</w:t>
      </w:r>
    </w:p>
    <w:p>
      <w:pPr>
        <w:pStyle w:val="Guidance"/>
      </w:pPr>
      <w:r>
        <w:t xml:space="preserve">Authorities to start from. These are places to begin, listed by the editors. Read each one in the original and check the citation before you rely on it.</w:t>
      </w:r>
    </w:p>
    <w:p>
      <w:pPr>
        <w:pStyle w:val="Bullet"/>
      </w:pPr>
      <w:r>
        <w:t xml:space="preserve">•  Anuradha Bhasin v. Union of India, (2020) 3 SCC 637</w:t>
      </w:r>
    </w:p>
    <w:p>
      <w:pPr>
        <w:pStyle w:val="Bullet"/>
      </w:pPr>
      <w:r>
        <w:t xml:space="preserve">•  Temporary Suspension of Telecom Services (Public Emergency or Public Safety) Rules, 2017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https://firstprecedent.org/tests/internet-shutdown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