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TS-0155 · Criminal</w:t>
      </w:r>
    </w:p>
    <w:p>
      <w:pPr>
        <w:pStyle w:val="Title"/>
      </w:pPr>
      <w:r>
        <w:t xml:space="preserve">Interlocutory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Which orders in a criminal case are so provisional that no revision lies, and the middle class of orders that are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397(2) (now Bharatiya Nagarik Suraksha Sanhita, 2023, § 438(2))</w:t>
      </w:r>
    </w:p>
    <w:p>
      <w:pPr>
        <w:pStyle w:val="Bullet"/>
      </w:pPr>
      <w:r>
        <w:t xml:space="preserve">•  Amar Nath v. State of Haryana, (1977) 4 SCC 137</w:t>
      </w:r>
    </w:p>
    <w:p>
      <w:pPr>
        <w:pStyle w:val="Bullet"/>
      </w:pPr>
      <w:r>
        <w:t xml:space="preserve">•  Madhu Limaye v. State of Maharashtra, (1977) 4 SCC 551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https://firstprecedent.org/tests/interlocutory-order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