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Test · TS-0073 · Constitutional</w:t>
      </w:r>
    </w:p>
    <w:p>
      <w:pPr>
        <w:pStyle w:val="Title"/>
      </w:pPr>
      <w:r>
        <w:t xml:space="preserve">Indirect Discrimination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 the test answers</w:t>
      </w:r>
    </w:p>
    <w:p>
      <w:pPr>
        <w:pStyle w:val="Guidance"/>
      </w:pPr>
      <w:r>
        <w:t xml:space="preserve">What a court is trying to decide when it uses this test.</w:t>
      </w:r>
    </w:p>
    <w:p/>
    <w:p>
      <w:pPr>
        <w:pStyle w:val="Heading1"/>
      </w:pPr>
      <w:r>
        <w:t xml:space="preserve">The steps</w:t>
      </w:r>
    </w:p>
    <w:p>
      <w:pPr>
        <w:pStyle w:val="Guidance"/>
      </w:pPr>
      <w:r>
        <w:t xml:space="preserve">Each step in order, stated as the courts state it.</w:t>
      </w:r>
    </w:p>
    <w:p/>
    <w:p>
      <w:pPr>
        <w:pStyle w:val="Heading1"/>
      </w:pPr>
      <w:r>
        <w:t xml:space="preserve">The case behind each step</w:t>
      </w:r>
    </w:p>
    <w:p>
      <w:pPr>
        <w:pStyle w:val="Guidance"/>
      </w:pPr>
      <w:r>
        <w:t xml:space="preserve">Where each step came from, with pinpoint references.</w:t>
      </w:r>
    </w:p>
    <w:p/>
    <w:p>
      <w:pPr>
        <w:pStyle w:val="Heading1"/>
      </w:pPr>
      <w:r>
        <w:t xml:space="preserve">How courts apply it</w:t>
      </w:r>
    </w:p>
    <w:p>
      <w:pPr>
        <w:pStyle w:val="Guidance"/>
      </w:pPr>
      <w:r>
        <w:t xml:space="preserve">Recent decisions, including ones that applied the test loosely.</w:t>
      </w:r>
    </w:p>
    <w:p/>
    <w:p>
      <w:pPr>
        <w:pStyle w:val="Heading1"/>
      </w:pPr>
      <w:r>
        <w:t xml:space="preserve">Criticism</w:t>
      </w:r>
    </w:p>
    <w:p>
      <w:pPr>
        <w:pStyle w:val="Guidance"/>
      </w:pPr>
      <w:r>
        <w:t xml:space="preserve">What judges and writers have said is wrong or unclear about the test.</w:t>
      </w:r>
    </w:p>
    <w:p/>
    <w:p>
      <w:pPr>
        <w:pStyle w:val="Heading1"/>
      </w:pPr>
      <w:r>
        <w:t xml:space="preserve">Notes for the writer (delete before submitting)</w:t>
      </w:r>
    </w:p>
    <w:p>
      <w:pPr>
        <w:pStyle w:val="Guidance"/>
      </w:pPr>
      <w:r>
        <w:t xml:space="preserve">Scope of this entry. The two steps for deciding whether a neutral rule discriminates: does it fall more heavily on a group, and does that reinforce disadvantage.</w:t>
      </w:r>
    </w:p>
    <w:p>
      <w:pPr>
        <w:pStyle w:val="Guidance"/>
      </w:pPr>
      <w:r>
        <w:t xml:space="preserve">Authorities to start from. These are places to begin, listed by the editors. Read each one in the original and check the citation before you rely on it.</w:t>
      </w:r>
    </w:p>
    <w:p>
      <w:pPr>
        <w:pStyle w:val="Bullet"/>
      </w:pPr>
      <w:r>
        <w:t xml:space="preserve">•  Lt. Col. Nitisha v. Union of India, (2021) 15 SCC 125</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https://firstprecedent.org/tests/indirect-discrimination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