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TS-0013 · Criminal</w:t>
      </w:r>
    </w:p>
    <w:p>
      <w:pPr>
        <w:pStyle w:val="Title"/>
      </w:pPr>
      <w:r>
        <w:t xml:space="preserve">Grave and Sudden Provocation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reasonable person placed in the accused’s situation, the cooling-off period, and sustained provocation.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K.M. Nanavati v. State of Maharashtra, AIR 1962 SC 605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https://firstprecedent.org/tests/grave-and-sudden-provocation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