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TS-0117 · Tort</w:t>
      </w:r>
    </w:p>
    <w:p>
      <w:pPr>
        <w:pStyle w:val="Title"/>
      </w:pPr>
      <w:r>
        <w:t xml:space="preserve">Functional Disability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a permanent disability is turned into loss of earning capacity, by looking at its effect on the claimant’s actual work.</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 Kumar v. Ajay Kumar, (2011) 1 SCC 343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https://firstprecedent.org/tests/functional-disability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