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TS-0152 · Arbitration</w:t>
      </w:r>
    </w:p>
    <w:p>
      <w:pPr>
        <w:pStyle w:val="Title"/>
      </w:pPr>
      <w:r>
        <w:t xml:space="preserve">Fraud and Arbitrability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an allegation of fraud takes a dispute out of arbitration: serious fraud going to the agreement itself or having a public character.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A. Ayyasamy v. A. Paramasivam, (2016) 10 SCC 386</w:t>
      </w:r>
    </w:p>
    <w:p>
      <w:pPr>
        <w:pStyle w:val="Bullet"/>
      </w:pPr>
      <w:r>
        <w:t xml:space="preserve">•  Avitel Post Studioz Ltd. v. HSBC PI Holdings (Mauritius) Ltd., (2021) 4 SCC 713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https://firstprecedent.org/tests/fraud-and-arbitrability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