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TS-0093 · Civil Procedure</w:t>
      </w:r>
    </w:p>
    <w:p>
      <w:pPr>
        <w:pStyle w:val="Title"/>
      </w:pPr>
      <w:r>
        <w:t xml:space="preserve">Ex Parte Ad Interim Injunction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factors a court weighs before granting an injunction without hearing the other side.</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Order XXXIX, Rule 3</w:t>
      </w:r>
    </w:p>
    <w:p>
      <w:pPr>
        <w:pStyle w:val="Bullet"/>
      </w:pPr>
      <w:r>
        <w:t xml:space="preserve">•  Morgan Stanley Mutual Fund v. Kartick Das, (1994) 4 SCC 225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https://firstprecedent.org/tests/ex-parte-ad-interim-injunction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