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TS-0081 · Administrative</w:t>
      </w:r>
    </w:p>
    <w:p>
      <w:pPr>
        <w:pStyle w:val="Title"/>
      </w:pPr>
      <w:r>
        <w:t xml:space="preserve">Error Apparent on the Face of the Record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kind of error of law that certiorari corrects: one that is plain without long argument.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Hari Vishnu Kamath v. Syed Ahmad Ishaque, AIR 1955 SC 233</w:t>
      </w:r>
    </w:p>
    <w:p>
      <w:pPr>
        <w:pStyle w:val="Bullet"/>
      </w:pPr>
      <w:r>
        <w:t xml:space="preserve">•  Syed Yakoob v. K.S. Radhakrishnan, AIR 1964 SC 477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https://firstprecedent.org/tests/error-apparent-on-the-face-of-the-record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