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TS-0031 · IP</w:t>
      </w:r>
    </w:p>
    <w:p>
      <w:pPr>
        <w:pStyle w:val="Title"/>
      </w:pPr>
      <w:r>
        <w:t xml:space="preserve">Enhanced Efficacy under Section 3(d)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bar on patenting new forms of known substances without enhanced therapeutic efficacy.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Novartis AG v. Union of India, (2013) 6 SCC 1</w:t>
      </w:r>
    </w:p>
    <w:p>
      <w:pPr>
        <w:pStyle w:val="Bullet"/>
      </w:pPr>
      <w:r>
        <w:t xml:space="preserve">•  Patents Act, 1970, § 3(d)</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https://firstprecedent.org/tests/enhanced-efficacy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