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TS-0130 · Banking</w:t>
      </w:r>
    </w:p>
    <w:p>
      <w:pPr>
        <w:pStyle w:val="Title"/>
      </w:pPr>
      <w:r>
        <w:t xml:space="preserve">Eligibility of a Resolution Applicant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Who is barred from bidding for an insolvent company, and how far the bar reaches to connected persons.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29A</w:t>
      </w:r>
    </w:p>
    <w:p>
      <w:pPr>
        <w:pStyle w:val="Bullet"/>
      </w:pPr>
      <w:r>
        <w:t xml:space="preserve">•  Arcelormittal India (P) Ltd. v. Satish Kumar Gupta, (2019) 2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https://firstprecedent.org/tests/eligibility-of-a-resolution-applicant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