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TS-0019 · Evidence</w:t>
      </w:r>
    </w:p>
    <w:p>
      <w:pPr>
        <w:pStyle w:val="Title"/>
      </w:pPr>
      <w:r>
        <w:t xml:space="preserve">Reliability of a Dying Declaration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dying declaration can found a conviction without corroboration, and the checks on fitness, tutoring and consistency.</w:t>
      </w:r>
    </w:p>
    <w:p>
      <w:pPr>
        <w:pStyle w:val="Guidance"/>
      </w:pPr>
      <w:r>
        <w:t xml:space="preserve">Authorities to start from. These are places to begin, listed by the editors. Read each one in the original and check the citation before you rely on it.</w:t>
      </w:r>
    </w:p>
    <w:p>
      <w:pPr>
        <w:pStyle w:val="Bullet"/>
      </w:pPr>
      <w:r>
        <w:t xml:space="preserve">•  Khushal Rao v. State of Bombay, AIR 1958 SC 22</w:t>
      </w:r>
    </w:p>
    <w:p>
      <w:pPr>
        <w:pStyle w:val="Bullet"/>
      </w:pPr>
      <w:r>
        <w:t xml:space="preserve">•  Laxman v. State of Maharashtra, (2002) 6 SCC 710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https://firstprecedent.org/tests/dying-declaration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