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TS-0040 · Labour</w:t>
      </w:r>
    </w:p>
    <w:p>
      <w:pPr>
        <w:pStyle w:val="Title"/>
      </w:pPr>
      <w:r>
        <w:t xml:space="preserve">A Fair Domestic Enquiry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tribunal may interfere with a dismissal after an employer’s own enquiry, and its power to reappraise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Iron &amp; Steel Co. Ltd. v. Workmen, AIR 1958 SC 130</w:t>
      </w:r>
    </w:p>
    <w:p>
      <w:pPr>
        <w:pStyle w:val="Bullet"/>
      </w:pPr>
      <w:r>
        <w:t xml:space="preserve">•  Workmen v. Firestone Tyre &amp; Rubber Co. of India (P) Ltd., (1973) 1 SCC 813</w:t>
      </w:r>
    </w:p>
    <w:p>
      <w:pPr>
        <w:pStyle w:val="Bullet"/>
      </w:pPr>
      <w:r>
        <w:t xml:space="preserve">•  Industrial Disputes Act, 1947, § 11A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https://firstprecedent.org/tests/domestic-enquiry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