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TS-0018 · Evidence</w:t>
      </w:r>
    </w:p>
    <w:p>
      <w:pPr>
        <w:pStyle w:val="Title"/>
      </w:pPr>
      <w:r>
        <w:t xml:space="preserve">Discovery under Section 27</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much of a statement to the police is admissible when it leads to a discovery: the fact discovered and the knowledge of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Pulukuri Kottaya v. King-Emperor, AIR 1947 PC 67</w:t>
      </w:r>
    </w:p>
    <w:p>
      <w:pPr>
        <w:pStyle w:val="Bullet"/>
      </w:pPr>
      <w:r>
        <w:t xml:space="preserve">•  State of U.P. v. Deoman Upadhyaya, AIR 1960 SC 1125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https://firstprecedent.org/tests/discovery-under-section-27</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