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TS-0144 · IP</w:t>
      </w:r>
    </w:p>
    <w:p>
      <w:pPr>
        <w:pStyle w:val="Title"/>
      </w:pPr>
      <w:r>
        <w:t xml:space="preserve">Dilution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Protection of a mark with a reputation against use on unrelated goods that blurs or tarnishes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29(4)</w:t>
      </w:r>
    </w:p>
    <w:p>
      <w:pPr>
        <w:pStyle w:val="Bullet"/>
      </w:pPr>
      <w:r>
        <w:t xml:space="preserve">•  ITC Ltd. v. Philip Morris Products SA, 2010 SCC OnLine Del 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https://firstprecedent.org/tests/dilution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