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TS-0102 · Criminal</w:t>
      </w:r>
    </w:p>
    <w:p>
      <w:pPr>
        <w:pStyle w:val="Title"/>
      </w:pPr>
      <w:r>
        <w:t xml:space="preserve">Demand and Acceptance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must be proved in a bribery case, and whether demand can be inferred when the complainant dies or turns hostile.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Prevention of Corruption Act, 1988, §§ 7, 13, 20</w:t>
      </w:r>
    </w:p>
    <w:p>
      <w:pPr>
        <w:pStyle w:val="Bullet"/>
      </w:pPr>
      <w:r>
        <w:t xml:space="preserve">•  Neeraj Dutta v. State (NCT of Delhi), (2023) 4 SCC 731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https://firstprecedent.org/tests/demand-and-acceptance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