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TS-0029 · IP</w:t>
      </w:r>
    </w:p>
    <w:p>
      <w:pPr>
        <w:pStyle w:val="Title"/>
      </w:pPr>
      <w:r>
        <w:t xml:space="preserve">Deceptive Similarity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factors for judging likelihood of confusion between marks, with the stricter approach for medicines.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Cadila Health Care Ltd. v. Cadila Pharmaceuticals Ltd., (2001) 5 SCC 73</w:t>
      </w:r>
    </w:p>
    <w:p>
      <w:pPr>
        <w:pStyle w:val="Bullet"/>
      </w:pPr>
      <w:r>
        <w:t xml:space="preserve">•  Amritdhara Pharmacy v. Satya Deo Gupta, AIR 1963 SC 449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https://firstprecedent.org/tests/deceptive-similarity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