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TS-0041 · Labour</w:t>
      </w:r>
    </w:p>
    <w:p>
      <w:pPr>
        <w:pStyle w:val="Title"/>
      </w:pPr>
      <w:r>
        <w:t xml:space="preserve">Arising Out of and in the Course of Employment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The two-part condition for employees’ compensation: a causal link with the work and an injury during it.</w:t>
      </w:r>
    </w:p>
    <w:p>
      <w:pPr>
        <w:pStyle w:val="Guidance"/>
      </w:pPr>
      <w:r>
        <w:t xml:space="preserve">Authorities to start from. These are places to begin, listed by the editors. Read each one in the original and check the citation before you rely on it.</w:t>
      </w:r>
    </w:p>
    <w:p>
      <w:pPr>
        <w:pStyle w:val="Bullet"/>
      </w:pPr>
      <w:r>
        <w:t xml:space="preserve">•  Employees’ Compensation Act, 1923, § 3</w:t>
      </w:r>
    </w:p>
    <w:p>
      <w:pPr>
        <w:pStyle w:val="Bullet"/>
      </w:pPr>
      <w:r>
        <w:t xml:space="preserve">•  Mackinnon Mackenzie &amp; Co. (P) Ltd. v. Ibrahim Mahmmed Issak, (1969) 2 SCC 607</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https://firstprecedent.org/tests/course-of-employment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