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TS-0025 · Labour</w:t>
      </w:r>
    </w:p>
    <w:p>
      <w:pPr>
        <w:pStyle w:val="Title"/>
      </w:pPr>
      <w:r>
        <w:t xml:space="preserve">The Control and Integration Tests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Who is an employee: control over the manner of work, integration into the business, and the multi-factor approach.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Dharangadhara Chemical Works Ltd. v. State of Saurashtra, AIR 1957 SC 264</w:t>
      </w:r>
    </w:p>
    <w:p>
      <w:pPr>
        <w:pStyle w:val="Bullet"/>
      </w:pPr>
      <w:r>
        <w:t xml:space="preserve">•  Silver Jubilee Tailoring House v. Chief Inspector of Shops &amp; Establishments, (1974) 3 SCC 498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https://firstprecedent.org/tests/control-test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