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TS-0127 · Family</w:t>
      </w:r>
    </w:p>
    <w:p>
      <w:pPr>
        <w:pStyle w:val="Title"/>
      </w:pPr>
      <w:r>
        <w:t xml:space="preserve">Continuing Consent in Divorce by Mutual Consent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Whether consent must last until the decree, and whether one spouse can withdraw it after the petition is filed.</w:t>
      </w:r>
    </w:p>
    <w:p>
      <w:pPr>
        <w:pStyle w:val="Guidance"/>
      </w:pPr>
      <w:r>
        <w:t xml:space="preserve">Authorities to start from. These are places to begin, listed by the editors. Read each one in the original and check the citation before you rely on it.</w:t>
      </w:r>
    </w:p>
    <w:p>
      <w:pPr>
        <w:pStyle w:val="Bullet"/>
      </w:pPr>
      <w:r>
        <w:t xml:space="preserve">•  Hindu Marriage Act, 1955, § 13B</w:t>
      </w:r>
    </w:p>
    <w:p>
      <w:pPr>
        <w:pStyle w:val="Bullet"/>
      </w:pPr>
      <w:r>
        <w:t xml:space="preserve">•  Sureshta Devi v. Om Prakash, (1991) 2 SCC 25</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https://firstprecedent.org/tests/consent-in-divorce-by-mutual-consent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