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TS-0166 · Family</w:t>
      </w:r>
    </w:p>
    <w:p>
      <w:pPr>
        <w:pStyle w:val="Title"/>
      </w:pPr>
      <w:r>
        <w:t xml:space="preserve">Conditions of a Valid Hindu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statutory conditions, and which of them make a marriage void, voidable or only punishable when broken.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https://firstprecedent.org/tests/conditions-of-a-valid-hindu-marriage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