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TS-0010 · Media</w:t>
      </w:r>
    </w:p>
    <w:p>
      <w:pPr>
        <w:pStyle w:val="Title"/>
      </w:pPr>
      <w:r>
        <w:t xml:space="preserve">The Community Standards Test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The test for obscenity after the Hicklin test was dropped: contemporary community standards and the work taken as a whole.</w:t>
      </w:r>
    </w:p>
    <w:p>
      <w:pPr>
        <w:pStyle w:val="Guidance"/>
      </w:pPr>
      <w:r>
        <w:t xml:space="preserve">Authorities to start from. These are places to begin, listed by the editors. Read each one in the original and check the citation before you rely on it.</w:t>
      </w:r>
    </w:p>
    <w:p>
      <w:pPr>
        <w:pStyle w:val="Bullet"/>
      </w:pPr>
      <w:r>
        <w:t xml:space="preserve">•  Aveek Sarkar v. State of W.B., (2014) 4 SCC 257</w:t>
      </w:r>
    </w:p>
    <w:p>
      <w:pPr>
        <w:pStyle w:val="Bullet"/>
      </w:pPr>
      <w:r>
        <w:t xml:space="preserve">•  Ranjit D. Udeshi v. State of Maharashtra, AIR 1965 SC 881</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https://firstprecedent.org/tests/community-standards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